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Intellectual Property Assignment Agreement (IPAA)</w:t>
      </w:r>
    </w:p>
    <w:p>
      <w:r>
        <w:t>This Intellectual Property Assignment Agreement ('IPAA') is entered into on December 8, 2024, by and between:</w:t>
      </w:r>
    </w:p>
    <w:p>
      <w:r>
        <w:t>1. Nothing Holdings and Ventures LLC (NHV)</w:t>
      </w:r>
    </w:p>
    <w:p>
      <w:r>
        <w:t>2. The Void Initiative LLC (TVI)</w:t>
      </w:r>
    </w:p>
    <w:p>
      <w:r>
        <w:t>3. California Data Services (CDS)</w:t>
      </w:r>
    </w:p>
    <w:p>
      <w:pPr>
        <w:pStyle w:val="Heading2"/>
      </w:pPr>
      <w:r>
        <w:t>Table of Contents</w:t>
      </w:r>
    </w:p>
    <w:p>
      <w:pPr>
        <w:pStyle w:val="ListNumber"/>
      </w:pPr>
      <w:r>
        <w:t>1. Overview</w:t>
      </w:r>
    </w:p>
    <w:p>
      <w:pPr>
        <w:pStyle w:val="ListNumber"/>
      </w:pPr>
      <w:r>
        <w:t>2. Description of Intellectual Property Assets</w:t>
      </w:r>
    </w:p>
    <w:p>
      <w:pPr>
        <w:pStyle w:val="ListNumber"/>
      </w:pPr>
      <w:r>
        <w:t>3. Responsibilities of the Parties</w:t>
      </w:r>
    </w:p>
    <w:p>
      <w:pPr>
        <w:pStyle w:val="ListNumber"/>
      </w:pPr>
      <w:r>
        <w:t>4. Payment Processing Infrastructure</w:t>
      </w:r>
    </w:p>
    <w:p>
      <w:pPr>
        <w:pStyle w:val="ListNumber"/>
      </w:pPr>
      <w:r>
        <w:t>5. Financial Management Systems</w:t>
      </w:r>
    </w:p>
    <w:p>
      <w:pPr>
        <w:pStyle w:val="ListNumber"/>
      </w:pPr>
      <w:r>
        <w:t>6. Ownership and Assignment Terms</w:t>
      </w:r>
    </w:p>
    <w:p>
      <w:pPr>
        <w:pStyle w:val="ListNumber"/>
      </w:pPr>
      <w:r>
        <w:t>7. Compliance and Security Framework</w:t>
      </w:r>
    </w:p>
    <w:p>
      <w:pPr>
        <w:pStyle w:val="ListNumber"/>
      </w:pPr>
      <w:r>
        <w:t>8. Execution</w:t>
      </w:r>
    </w:p>
    <w:p>
      <w:pPr>
        <w:pStyle w:val="ListNumber"/>
      </w:pPr>
      <w:r>
        <w:t>9. Schedule A: Intellectual Property Assets</w:t>
      </w:r>
    </w:p>
    <w:p>
      <w:pPr>
        <w:pStyle w:val="Heading2"/>
      </w:pPr>
      <w:r>
        <w:t>1. Overview</w:t>
      </w:r>
    </w:p>
    <w:p>
      <w:r>
        <w:t>This Intellectual Property Assignment Agreement ("IPAA") governs the assignment of intellectual property assets and related responsibilities between Nothing Holdings and Ventures LLC (NHV), The Void Initiative LLC (TVI), and California Data Services (CDS). The purpose of this agreement is to ensure the proper allocation, management, and compliance of intellectual property assets, payment processing systems, and associated frameworks as detailed herein.</w:t>
      </w:r>
    </w:p>
    <w:p>
      <w:pPr>
        <w:pStyle w:val="Heading2"/>
      </w:pPr>
      <w:r>
        <w:t>2. Description of Intellectual Property Assets</w:t>
      </w:r>
    </w:p>
    <w:p>
      <w:r>
        <w:t>The intellectual property assets assigned under this agreement include, but are not limited to:</w:t>
        <w:br/>
        <w:t>- Payment processing architecture, including custom Stripe integration and multi-entity routing systems.</w:t>
        <w:br/>
        <w:t>- Financial management systems powered by QuickBooks and AI-based analytics.</w:t>
        <w:br/>
        <w:t>- Technological frameworks supporting GDPR and CCPA compliance.</w:t>
        <w:br/>
        <w:t>- Security protocols for secure payment handling and fraud prevention.</w:t>
        <w:br/>
        <w:t>Detailed descriptions are provided in Schedule A of this document.</w:t>
      </w:r>
    </w:p>
    <w:p>
      <w:pPr>
        <w:pStyle w:val="Heading2"/>
      </w:pPr>
      <w:r>
        <w:t>3. Responsibilities of the Parties</w:t>
      </w:r>
    </w:p>
    <w:p>
      <w:r>
        <w:t>3.1 Nothing Holdings and Ventures LLC (NHV)</w:t>
        <w:br/>
        <w:t>- Oversight of global payment processing infrastructure.</w:t>
        <w:br/>
        <w:t>- Management of multi-entity financial integration and accounting systems.</w:t>
        <w:br/>
        <w:t>- Strategic direction of monetization efforts across jurisdictions.</w:t>
        <w:br/>
        <w:t>- Coordination of cross-jurisdictional transactions and operations.</w:t>
        <w:br/>
        <w:br/>
        <w:t>3.2 The Void Initiative LLC (TVI)</w:t>
        <w:br/>
        <w:t>- Implementation of GDPR-compliant payment processing systems.</w:t>
        <w:br/>
        <w:t>- Management of international transaction flows and metrics.</w:t>
        <w:br/>
        <w:t>- Integration of global payment systems with Stripe infrastructure.</w:t>
        <w:br/>
        <w:t>- Oversight of European-specific operations and compliance metrics.</w:t>
        <w:br/>
        <w:br/>
        <w:t>3.3 California Data Services (CDS)</w:t>
        <w:br/>
        <w:t>- Management of CCPA-compliant payment data for California-based users.</w:t>
        <w:br/>
        <w:t>- Oversight of California-specific transaction processing.</w:t>
        <w:br/>
        <w:t>- Ensuring regional compliance with state-specific financial regulations.</w:t>
        <w:br/>
        <w:t>- Providing detailed analytics and tracking for California-related operations.</w:t>
      </w:r>
    </w:p>
    <w:p>
      <w:pPr>
        <w:pStyle w:val="Heading2"/>
      </w:pPr>
      <w:r>
        <w:t>4. Payment Processing Infrastructure</w:t>
      </w:r>
    </w:p>
    <w:p>
      <w:r>
        <w:t>4.1 Stripe Integration</w:t>
        <w:br/>
        <w:t>The Stripe integration framework serves as the backbone of all payment-related activities. Key features include:</w:t>
        <w:br/>
        <w:t>- Custom payment flows designed for seamless user experiences.</w:t>
        <w:br/>
        <w:t>- Subscription-based delivery systems for premium content.</w:t>
        <w:br/>
        <w:t>- Cross-entity payment routing and real-time reconciliation.</w:t>
        <w:br/>
        <w:t>- Automated notification systems for rejected transactions.</w:t>
        <w:br/>
        <w:br/>
        <w:t>4.2 Transaction Management</w:t>
        <w:br/>
        <w:t>Efficient and secure transaction management includes:</w:t>
        <w:br/>
        <w:t>- Real-time confirmation of successful payments.</w:t>
        <w:br/>
        <w:t>- Verification of authenticity for all transactions.</w:t>
        <w:br/>
        <w:t>- Processing refunds or adjustments related to premium services.</w:t>
        <w:br/>
        <w:t>- Multi-jurisdictional payment handling to meet compliance standards.</w:t>
      </w:r>
    </w:p>
    <w:p>
      <w:pPr>
        <w:pStyle w:val="Heading2"/>
      </w:pPr>
      <w:r>
        <w:t>5. Financial Management Systems</w:t>
      </w:r>
    </w:p>
    <w:p>
      <w:r>
        <w:t>5.1 QuickBooks Integration</w:t>
        <w:br/>
        <w:t>QuickBooks serves as the central hub for financial operations. Key functionalities include:</w:t>
        <w:br/>
        <w:t>- Multi-entity accounting for NHV, TVI, and CDS.</w:t>
        <w:br/>
        <w:t>- Automated reconciliation of transactions across jurisdictions.</w:t>
        <w:br/>
        <w:t>- AI-powered financial reporting and forecasting tools.</w:t>
        <w:br/>
        <w:t>- Customizable charts of accounts to align with intellectual property tracking.</w:t>
        <w:br/>
        <w:br/>
        <w:t>5.2 AI-Powered Financial Operations</w:t>
        <w:br/>
        <w:t>The AI-based financial systems offer:</w:t>
        <w:br/>
        <w:t>- Detailed metrics for analyzing payment trends and user behaviors.</w:t>
        <w:br/>
        <w:t>- Predictive analytics for revenue generation and growth strategies.</w:t>
        <w:br/>
        <w:t>- Performance tracking for all subscription-based services.</w:t>
        <w:br/>
        <w:t>- Automated reporting tailored for board and investor review.</w:t>
      </w:r>
    </w:p>
    <w:p>
      <w:pPr>
        <w:pStyle w:val="Heading2"/>
      </w:pPr>
      <w:r>
        <w:t>6. Ownership and Assignment Terms</w:t>
      </w:r>
    </w:p>
    <w:p>
      <w:r>
        <w:t>The intellectual property assets outlined in this agreement are owned collectively by NHV, TVI, and CDS, with specific rights and responsibilities assigned as follows:</w:t>
        <w:br/>
        <w:t>- NHV retains strategic oversight and decision-making authority for global operations.</w:t>
        <w:br/>
        <w:t>- TVI manages international compliance and operations within GDPR jurisdictions.</w:t>
        <w:br/>
        <w:t>- CDS handles state-specific compliance and operations for California users.</w:t>
        <w:br/>
        <w:t>Ownership may not be transferred without written consent from all parties.</w:t>
      </w:r>
    </w:p>
    <w:p>
      <w:pPr>
        <w:pStyle w:val="Heading2"/>
      </w:pPr>
      <w:r>
        <w:t>7. Compliance and Security Framework</w:t>
      </w:r>
    </w:p>
    <w:p>
      <w:r>
        <w:t>The compliance framework ensures adherence to:</w:t>
        <w:br/>
        <w:t>- GDPR regulations for international users, managed by TVI.</w:t>
        <w:br/>
        <w:t>- CCPA regulations for California-based users, managed by CDS.</w:t>
        <w:br/>
        <w:t>- Payment data security protocols including encryption and multi-layer authentication.</w:t>
        <w:br/>
        <w:t>- Regular audits to maintain compliance with all applicable laws and standards.</w:t>
      </w:r>
    </w:p>
    <w:p>
      <w:pPr>
        <w:pStyle w:val="Heading2"/>
      </w:pPr>
      <w:r>
        <w:t>8. Execution</w:t>
      </w:r>
    </w:p>
    <w:p>
      <w:r>
        <w:t>This agreement shall be executed by authorized representatives of NHV, TVI, and CDS, effective as of the date first written above. Each party agrees to uphold their respective responsibilities and maintain compliance with the terms outlined in this document.</w:t>
      </w:r>
    </w:p>
    <w:p>
      <w:pPr>
        <w:pStyle w:val="Heading2"/>
      </w:pPr>
      <w:r>
        <w:t>9. Schedule A</w:t>
      </w:r>
    </w:p>
    <w:p>
      <w:r>
        <w:t>Schedule A provides a detailed breakdown of the intellectual property assets, payment systems, and technological frameworks, including:</w:t>
        <w:br/>
        <w:t>- Stripe Integration Framework</w:t>
        <w:br/>
        <w:t>- QuickBooks Financial Systems</w:t>
        <w:br/>
        <w:t>- Compliance Integration Modules</w:t>
        <w:br/>
        <w:t>- Security Protocols for Data Protection</w:t>
        <w:br/>
        <w:t>See the attached appendix for full details.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